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0B26D1">
        <w:rPr>
          <w:rFonts w:ascii="Times New Roman" w:hAnsi="Times New Roman" w:cs="Times New Roman"/>
          <w:sz w:val="28"/>
          <w:szCs w:val="28"/>
          <w:lang w:val="kk-KZ"/>
        </w:rPr>
        <w:t>3</w:t>
      </w:r>
      <w:r w:rsidR="00A61F2D" w:rsidRPr="00AD361F">
        <w:rPr>
          <w:rFonts w:ascii="Times New Roman" w:hAnsi="Times New Roman" w:cs="Times New Roman"/>
          <w:sz w:val="28"/>
          <w:szCs w:val="28"/>
          <w:lang w:val="kk-KZ"/>
        </w:rPr>
        <w:t xml:space="preserve">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tabs>
          <w:tab w:val="left" w:pos="709"/>
        </w:tabs>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Кафедра меңгерушісі, б.ғ.д., профессор _______________М.С. Курманбаева</w:t>
      </w:r>
    </w:p>
    <w:p w:rsidR="00DA5E20" w:rsidRPr="00AD361F" w:rsidRDefault="00DA5E20" w:rsidP="000559A0">
      <w:pPr>
        <w:ind w:firstLine="709"/>
        <w:jc w:val="center"/>
        <w:rPr>
          <w:rFonts w:ascii="Times New Roman" w:hAnsi="Times New Roman" w:cs="Times New Roman"/>
          <w:b/>
          <w:sz w:val="28"/>
          <w:szCs w:val="28"/>
          <w:lang w:val="kk-KZ"/>
        </w:rPr>
      </w:pP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4B5856">
        <w:rPr>
          <w:rFonts w:ascii="Times New Roman" w:hAnsi="Times New Roman" w:cs="Times New Roman"/>
          <w:sz w:val="28"/>
          <w:szCs w:val="28"/>
          <w:lang w:val="kk-KZ"/>
        </w:rPr>
        <w:t>3</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A84F76" w:rsidRPr="00AD361F" w:rsidRDefault="00A84F76" w:rsidP="00A84F76">
      <w:pPr>
        <w:pStyle w:val="a6"/>
        <w:jc w:val="both"/>
        <w:rPr>
          <w:rFonts w:ascii="Times New Roman" w:hAnsi="Times New Roman"/>
          <w:bCs/>
          <w:sz w:val="28"/>
          <w:szCs w:val="28"/>
          <w:lang w:val="kk-KZ"/>
        </w:rPr>
      </w:pPr>
    </w:p>
    <w:p w:rsidR="00DA5E20" w:rsidRDefault="00DA5E20" w:rsidP="00775A18">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Қолданылған әдебиеттер:</w:t>
      </w:r>
    </w:p>
    <w:p w:rsidR="004B5856" w:rsidRPr="00AD361F" w:rsidRDefault="004B5856" w:rsidP="00775A18">
      <w:pPr>
        <w:jc w:val="both"/>
        <w:rPr>
          <w:rFonts w:ascii="Times New Roman" w:hAnsi="Times New Roman" w:cs="Times New Roman"/>
          <w:noProof/>
          <w:sz w:val="28"/>
          <w:szCs w:val="28"/>
          <w:lang w:val="kk-KZ"/>
        </w:rPr>
      </w:pPr>
      <w:r>
        <w:rPr>
          <w:rFonts w:ascii="Times New Roman" w:hAnsi="Times New Roman" w:cs="Times New Roman"/>
          <w:sz w:val="28"/>
          <w:szCs w:val="28"/>
          <w:lang w:val="kk-KZ"/>
        </w:rPr>
        <w:t>Негізгі:</w:t>
      </w:r>
    </w:p>
    <w:p w:rsidR="0048433A" w:rsidRPr="0048433A" w:rsidRDefault="0048433A" w:rsidP="0048433A">
      <w:pPr>
        <w:pStyle w:val="a3"/>
        <w:numPr>
          <w:ilvl w:val="0"/>
          <w:numId w:val="10"/>
        </w:numPr>
        <w:spacing w:after="0" w:line="240" w:lineRule="auto"/>
        <w:ind w:left="0" w:firstLine="709"/>
        <w:jc w:val="both"/>
        <w:rPr>
          <w:rFonts w:ascii="Times New Roman" w:hAnsi="Times New Roman"/>
          <w:bCs/>
          <w:sz w:val="24"/>
          <w:szCs w:val="24"/>
          <w:lang w:val="kk-KZ"/>
        </w:rPr>
      </w:pPr>
      <w:bookmarkStart w:id="0" w:name="_GoBack"/>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окружающей среды: </w:t>
      </w:r>
      <w:proofErr w:type="spellStart"/>
      <w:r w:rsidRPr="0048433A">
        <w:rPr>
          <w:rFonts w:ascii="Times New Roman" w:hAnsi="Times New Roman"/>
          <w:sz w:val="24"/>
          <w:szCs w:val="24"/>
        </w:rPr>
        <w:t>био</w:t>
      </w:r>
      <w:proofErr w:type="spellEnd"/>
      <w:r w:rsidRPr="0048433A">
        <w:rPr>
          <w:rFonts w:ascii="Times New Roman" w:hAnsi="Times New Roman"/>
          <w:sz w:val="24"/>
          <w:szCs w:val="24"/>
        </w:rPr>
        <w:t>индикация и биотестирование. - М.: Издательский центр «Академия», 2017. - 288 с</w:t>
      </w:r>
    </w:p>
    <w:p w:rsidR="0048433A" w:rsidRPr="0048433A" w:rsidRDefault="0048433A" w:rsidP="0048433A">
      <w:pPr>
        <w:pStyle w:val="2"/>
        <w:spacing w:after="0" w:line="240" w:lineRule="auto"/>
        <w:ind w:left="0" w:firstLine="709"/>
        <w:rPr>
          <w:rFonts w:ascii="Times New Roman" w:hAnsi="Times New Roman" w:cs="Times New Roman"/>
          <w:color w:val="000000" w:themeColor="text1"/>
          <w:sz w:val="24"/>
          <w:szCs w:val="24"/>
          <w:lang w:val="kk-KZ"/>
        </w:rPr>
      </w:pPr>
      <w:r w:rsidRPr="0048433A">
        <w:rPr>
          <w:rFonts w:ascii="Times New Roman" w:hAnsi="Times New Roman" w:cs="Times New Roman"/>
          <w:color w:val="000000" w:themeColor="text1"/>
          <w:sz w:val="24"/>
          <w:szCs w:val="24"/>
          <w:lang w:val="kk-KZ"/>
        </w:rPr>
        <w:t>Қосымша:</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bookmarkEnd w:id="0"/>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48433A"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48433A"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48433A"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48433A"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4</cp:revision>
  <dcterms:created xsi:type="dcterms:W3CDTF">2023-08-24T19:51:00Z</dcterms:created>
  <dcterms:modified xsi:type="dcterms:W3CDTF">2023-09-13T18:17:00Z</dcterms:modified>
</cp:coreProperties>
</file>